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spacing w:line="360" w:lineRule="auto"/>
        <w:ind w:left="0" w:leftChars="0" w:firstLine="0" w:firstLineChars="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采购需求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采购项目：智能移动操作平台采购项目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采购预算：20万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智能移动操作平台主要技术参数</w:t>
      </w:r>
    </w:p>
    <w:p>
      <w:pPr>
        <w:pStyle w:val="5"/>
        <w:spacing w:line="360" w:lineRule="auto"/>
        <w:ind w:left="0" w:leftChars="0" w:firstLine="560" w:firstLineChars="20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1. 一体化操作台面，隐藏式抽屉，收纳扩容，便携移动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spacing w:line="360" w:lineRule="auto"/>
        <w:ind w:firstLine="560" w:firstLineChars="20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2.系统具备人脸拍照识别功能，根据人脸识别身份提取相应的基本身份信息并展示功能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3. ★支持提取献血者征询初筛信息并展示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4. ★支持献血者标签条码现场打印功能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5. ★支持献血者采血信息录入，信息电子表格智能化数据传输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6. ★支持查看成分血采血历史记录功能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7.具备标签条码扫描识别功能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8.具备双向把手全角度轻松推动功能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9.具备屏幕全角度自由旋转功能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10. 具有医疗废物和生活垃圾分类放置，非接触感应式垃圾桶，避免医护人员在丢弃废物时触摸桶盖的带来的污染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11. ★具备成分血称重配平功能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12．★具备手持式热合机功能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13.具有电池电量显示，不间断48小时护航贴心功能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spacing w:line="360" w:lineRule="auto"/>
        <w:ind w:firstLine="560" w:firstLineChars="200"/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14.具备锂电池循环充电使用的功能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5"/>
        <w:spacing w:line="360" w:lineRule="auto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15.具备全隐藏线缆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避免运行中线缆挂扯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保障设备安全功能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spacing w:line="360" w:lineRule="auto"/>
        <w:ind w:firstLine="560" w:firstLineChars="20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16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设备尺寸≤宽850*深600*高1400（mm）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pStyle w:val="6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17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显示屏尺寸≥10.8英寸；</w:t>
      </w:r>
    </w:p>
    <w:p>
      <w:pPr>
        <w:spacing w:line="360" w:lineRule="auto"/>
        <w:ind w:firstLine="560" w:firstLineChars="20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18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操作系统：Android系统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；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19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支持网络：WIFI、5G网络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。</w:t>
      </w:r>
    </w:p>
    <w:p>
      <w:pPr>
        <w:spacing w:after="2" w:line="257" w:lineRule="auto"/>
        <w:ind w:left="1592" w:right="1224" w:hanging="8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智能移动操作平台采购</w:t>
      </w:r>
      <w:r>
        <w:rPr>
          <w:rFonts w:hint="eastAsia" w:ascii="黑体" w:hAnsi="黑体" w:eastAsia="黑体" w:cs="黑体"/>
          <w:sz w:val="32"/>
          <w:szCs w:val="32"/>
        </w:rPr>
        <w:t>评分标准</w:t>
      </w:r>
    </w:p>
    <w:p>
      <w:pPr>
        <w:spacing w:after="0"/>
        <w:ind w:left="1584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tbl>
      <w:tblPr>
        <w:tblStyle w:val="4"/>
        <w:tblW w:w="8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39" w:type="dxa"/>
          <w:left w:w="108" w:type="dxa"/>
          <w:bottom w:w="0" w:type="dxa"/>
          <w:right w:w="0" w:type="dxa"/>
        </w:tblCellMar>
      </w:tblPr>
      <w:tblGrid>
        <w:gridCol w:w="1344"/>
        <w:gridCol w:w="5985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7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指标 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内容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价格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价格分采用低价优先法计算，即满足招标文件要求且投标价格最低的投标报价为评标基准价，其价格分为满分。其他投标人的价格分统一按下列公式计算：投标报价得分=（评标基准价／投标报价）×30%×100，计算分数时四舍五入取小数点后两位。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1.技术参数要求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after="0" w:line="264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a全部满足招标文件要求得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 b带★号的参数要求的，如有一项不满足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5分，扣完为止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。 </w:t>
            </w:r>
          </w:p>
          <w:p>
            <w:pPr>
              <w:spacing w:after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c不带★号的参数要求部分如有一项不满足的扣3分，扣完为止。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7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商务</w:t>
            </w:r>
          </w:p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3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产品业绩：每提供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产品销售合同的计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2分，最多不超过4分；</w:t>
            </w:r>
          </w:p>
          <w:p>
            <w:pPr>
              <w:spacing w:after="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2.售后服务：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供应商承诺免费质保期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计2分，每增加1年加2分，最多不超过6分。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86159040">
    <w:nsid w:val="7C5842C0"/>
    <w:multiLevelType w:val="singleLevel"/>
    <w:tmpl w:val="7C5842C0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0861590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2215F"/>
    <w:rsid w:val="32A221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2022-08-15T00:45:00Z</dcterms:created>
  <dc:creator>Administrator</dc:creator>
  <cp:lastModifiedBy>Administrator</cp:lastModifiedBy>
  <dcterms:modified xsi:type="dcterms:W3CDTF">2022-08-15T00:46:13Z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